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58.png" ContentType="image/png"/>
  <Override PartName="/word/media/rId38.png" ContentType="image/png"/>
  <Override PartName="/word/media/rId42.png" ContentType="image/png"/>
  <Override PartName="/word/media/rId47.png" ContentType="image/png"/>
  <Override PartName="/word/media/rId53.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1348635" cy="1085589"/>
            <wp:effectExtent b="0" l="0" r="0" t="0"/>
            <wp:docPr descr="" title="" id="21" name="Picture"/>
            <a:graphic>
              <a:graphicData uri="http://schemas.openxmlformats.org/drawingml/2006/picture">
                <pic:pic>
                  <pic:nvPicPr>
                    <pic:cNvPr descr="DfE%20logo.png" id="22" name="Picture"/>
                    <pic:cNvPicPr>
                      <a:picLocks noChangeArrowheads="1" noChangeAspect="1"/>
                    </pic:cNvPicPr>
                  </pic:nvPicPr>
                  <pic:blipFill>
                    <a:blip r:embed="rId20"/>
                    <a:stretch>
                      <a:fillRect/>
                    </a:stretch>
                  </pic:blipFill>
                  <pic:spPr bwMode="auto">
                    <a:xfrm>
                      <a:off x="0" y="0"/>
                      <a:ext cx="1348635" cy="1085589"/>
                    </a:xfrm>
                    <a:prstGeom prst="rect">
                      <a:avLst/>
                    </a:prstGeom>
                    <a:noFill/>
                    <a:ln w="9525">
                      <a:noFill/>
                      <a:headEnd/>
                      <a:tailEnd/>
                    </a:ln>
                  </pic:spPr>
                </pic:pic>
              </a:graphicData>
            </a:graphic>
          </wp:inline>
        </w:drawing>
      </w:r>
    </w:p>
    <w:bookmarkStart w:id="23" w:name="ashchurch-primary-school--"/>
    <w:p>
      <w:pPr>
        <w:pStyle w:val="Heading1"/>
      </w:pPr>
      <w:r>
        <w:t xml:space="preserve">Ashchurch Primary School -</w:t>
      </w:r>
    </w:p>
    <w:bookmarkEnd w:id="23"/>
    <w:bookmarkStart w:id="66" w:name="Xc3f2a0a09bee529c83c082af8cd5d1a322f79a3"/>
    <w:p>
      <w:pPr>
        <w:pStyle w:val="Heading1"/>
      </w:pPr>
      <w:r>
        <w:t xml:space="preserve">Monitor your school attendance summary report</w:t>
      </w:r>
    </w:p>
    <w:bookmarkStart w:id="24" w:name="spring-term-2024-to-2025"/>
    <w:p>
      <w:pPr>
        <w:pStyle w:val="Heading7"/>
      </w:pPr>
      <w:r>
        <w:t xml:space="preserve">Spring term 2024 to 2025</w:t>
      </w:r>
    </w:p>
    <w:bookmarkEnd w:id="24"/>
    <w:bookmarkStart w:id="25" w:name="february-2025"/>
    <w:p>
      <w:pPr>
        <w:pStyle w:val="Heading6"/>
      </w:pPr>
      <w:r>
        <w:t xml:space="preserve">February 2025</w:t>
      </w:r>
    </w:p>
    <w:p>
      <w:r>
        <w:br w:type="page"/>
      </w:r>
    </w:p>
    <w:bookmarkEnd w:id="25"/>
    <w:bookmarkStart w:id="26" w:name="version-history"/>
    <w:p>
      <w:pPr>
        <w:pStyle w:val="Heading2"/>
      </w:pPr>
      <w:r>
        <w:t xml:space="preserve">Version History</w:t>
      </w:r>
    </w:p>
    <w:p>
      <w:pPr>
        <w:pStyle w:val="FirstParagraph"/>
      </w:pPr>
      <w:r>
        <w:t xml:space="preserve">This table gives details of changes made to your summary report for the spring term.</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Version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Changes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Date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Author</w:t>
            </w:r>
          </w:p>
        </w:tc>
      </w:tr>
      <w:tr>
        <w:trPr>
          <w:cantSplit/>
          <w:trHeight w:val="360" w:hRule="auto"/>
        </w:trPr>
        body1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Initial</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release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February</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FT</w:t>
            </w:r>
          </w:p>
        </w:tc>
      </w:tr>
    </w:tbl>
    <w:p>
      <w:r>
        <w:br w:type="page"/>
      </w:r>
    </w:p>
    <w:bookmarkEnd w:id="26"/>
    <w:bookmarkStart w:id="31" w:name="your-attendance-summary-report"/>
    <w:p>
      <w:pPr>
        <w:pStyle w:val="Heading2"/>
      </w:pPr>
      <w:r>
        <w:t xml:space="preserve">Your attendance summary report</w:t>
      </w:r>
    </w:p>
    <w:p>
      <w:pPr>
        <w:pStyle w:val="FirstParagraph"/>
      </w:pPr>
      <w:r>
        <w:t xml:space="preserve">This report is specific to your school. It is a summary of your school’s attendance</w:t>
      </w:r>
      <w:r>
        <w:t xml:space="preserve"> </w:t>
      </w:r>
      <w:r>
        <w:rPr>
          <w:b/>
          <w:bCs/>
        </w:rPr>
        <w:t xml:space="preserve">for pupils in years 1 to 6</w:t>
      </w:r>
      <w:r>
        <w:t xml:space="preserve"> </w:t>
      </w:r>
      <w:r>
        <w:t xml:space="preserve">from the start of the academic year 2024 to 2025 up to Tuesday 18 February 2025. Results are based on the</w:t>
      </w:r>
      <w:r>
        <w:t xml:space="preserve"> </w:t>
      </w:r>
      <w:hyperlink r:id="rId27">
        <w:r>
          <w:rPr>
            <w:rStyle w:val="Hyperlink"/>
          </w:rPr>
          <w:t xml:space="preserve">daily attendance data</w:t>
        </w:r>
      </w:hyperlink>
      <w:r>
        <w:t xml:space="preserve"> </w:t>
      </w:r>
      <w:r>
        <w:t xml:space="preserve">your school shares with the Department for Education (DfE). It comes from your school’s management information system (MIS)</w:t>
      </w:r>
    </w:p>
    <w:p>
      <w:pPr>
        <w:pStyle w:val="BodyText"/>
      </w:pPr>
      <w:r>
        <w:t xml:space="preserve">Year-to-date attendance data for the whole schools and individual pupils is available in the Monitor your school attendance tool via the</w:t>
      </w:r>
      <w:r>
        <w:t xml:space="preserve"> </w:t>
      </w:r>
      <w:hyperlink r:id="rId28">
        <w:r>
          <w:rPr>
            <w:rStyle w:val="Hyperlink"/>
          </w:rPr>
          <w:t xml:space="preserve">View your education data (VYED)</w:t>
        </w:r>
      </w:hyperlink>
      <w:r>
        <w:t xml:space="preserve"> </w:t>
      </w:r>
      <w:r>
        <w:t xml:space="preserve">service.</w:t>
      </w:r>
    </w:p>
    <w:bookmarkStart w:id="30" w:name="how-to-use-this-report"/>
    <w:p>
      <w:pPr>
        <w:pStyle w:val="Heading3"/>
      </w:pPr>
      <w:r>
        <w:t xml:space="preserve">How to use this report</w:t>
      </w:r>
    </w:p>
    <w:p>
      <w:pPr>
        <w:pStyle w:val="FirstParagraph"/>
      </w:pPr>
      <w:r>
        <w:t xml:space="preserve">Attendance summary reports are designed to help you to meet expectations set out in the</w:t>
      </w:r>
      <w:r>
        <w:t xml:space="preserve"> </w:t>
      </w:r>
      <w:hyperlink r:id="rId29">
        <w:r>
          <w:rPr>
            <w:rStyle w:val="Hyperlink"/>
          </w:rPr>
          <w:t xml:space="preserve">working together to improve school attendance guidance</w:t>
        </w:r>
      </w:hyperlink>
      <w:r>
        <w:t xml:space="preserve">. We publish a new report for your school for each half and full term.</w:t>
      </w:r>
    </w:p>
    <w:p>
      <w:pPr>
        <w:pStyle w:val="BodyText"/>
      </w:pPr>
      <w:r>
        <w:t xml:space="preserve">It can help you:</w:t>
      </w:r>
    </w:p>
    <w:p>
      <w:pPr>
        <w:pStyle w:val="Compact"/>
        <w:numPr>
          <w:ilvl w:val="0"/>
          <w:numId w:val="1001"/>
        </w:numPr>
      </w:pPr>
      <w:r>
        <w:t xml:space="preserve">identify pupils with and approaching persistent and severe absence rates</w:t>
      </w:r>
    </w:p>
    <w:p>
      <w:pPr>
        <w:pStyle w:val="Compact"/>
        <w:numPr>
          <w:ilvl w:val="0"/>
          <w:numId w:val="1001"/>
        </w:numPr>
      </w:pPr>
      <w:r>
        <w:t xml:space="preserve">consider the underlying causes of absence</w:t>
      </w:r>
    </w:p>
    <w:p>
      <w:pPr>
        <w:pStyle w:val="Compact"/>
        <w:numPr>
          <w:ilvl w:val="0"/>
          <w:numId w:val="1001"/>
        </w:numPr>
      </w:pPr>
      <w:r>
        <w:t xml:space="preserve">devise strategies to address absence challenges</w:t>
      </w:r>
    </w:p>
    <w:p>
      <w:pPr>
        <w:pStyle w:val="FirstParagraph"/>
      </w:pPr>
      <w:r>
        <w:t xml:space="preserve">Share it with your board to discuss current strategies to attendance, their effectiveness and whether alternative approaches are needed.</w:t>
      </w:r>
    </w:p>
    <w:bookmarkEnd w:id="30"/>
    <w:bookmarkEnd w:id="31"/>
    <w:bookmarkStart w:id="37" w:name="how-we-calculate-your-results"/>
    <w:p>
      <w:pPr>
        <w:pStyle w:val="Heading2"/>
      </w:pPr>
      <w:r>
        <w:t xml:space="preserve">How we calculate your results</w:t>
      </w:r>
    </w:p>
    <w:p>
      <w:pPr>
        <w:pStyle w:val="FirstParagraph"/>
      </w:pPr>
      <w:r>
        <w:t xml:space="preserve">The data:</w:t>
      </w:r>
    </w:p>
    <w:p>
      <w:pPr>
        <w:pStyle w:val="Compact"/>
        <w:numPr>
          <w:ilvl w:val="0"/>
          <w:numId w:val="1002"/>
        </w:numPr>
      </w:pPr>
      <w:r>
        <w:t xml:space="preserve">is from the start of the academic year up to Tuesday 18 February 2025.</w:t>
      </w:r>
    </w:p>
    <w:p>
      <w:pPr>
        <w:pStyle w:val="Compact"/>
        <w:numPr>
          <w:ilvl w:val="0"/>
          <w:numId w:val="1002"/>
        </w:numPr>
      </w:pPr>
      <w:r>
        <w:t xml:space="preserve">is for pupils in years 1 to 6</w:t>
      </w:r>
    </w:p>
    <w:p>
      <w:pPr>
        <w:pStyle w:val="Compact"/>
        <w:numPr>
          <w:ilvl w:val="0"/>
          <w:numId w:val="1002"/>
        </w:numPr>
      </w:pPr>
      <w:r>
        <w:t xml:space="preserve">includes attendance, absence codes, and pupil characteristics as recorded in your school’s MIS.</w:t>
      </w:r>
    </w:p>
    <w:p>
      <w:pPr>
        <w:pStyle w:val="FirstParagraph"/>
      </w:pPr>
      <w:r>
        <w:t xml:space="preserve">Data in this report may be different from data in your MIS, official statistics and other attendance data tools. Other attendance data reports may be updated daily, termly or cover an entire academic year or the academic year-to-date. This can cause large differences in the number of persistently absent pupils.</w:t>
      </w:r>
    </w:p>
    <w:p>
      <w:pPr>
        <w:pStyle w:val="BodyText"/>
      </w:pPr>
      <w:r>
        <w:t xml:space="preserve">Refer to the</w:t>
      </w:r>
      <w:r>
        <w:t xml:space="preserve"> </w:t>
      </w:r>
      <w:hyperlink r:id="rId32">
        <w:r>
          <w:rPr>
            <w:rStyle w:val="Hyperlink"/>
          </w:rPr>
          <w:t xml:space="preserve">data definitions</w:t>
        </w:r>
      </w:hyperlink>
      <w:r>
        <w:t xml:space="preserve"> </w:t>
      </w:r>
      <w:r>
        <w:t xml:space="preserve">to understand how we calculate attendance.</w:t>
      </w:r>
    </w:p>
    <w:bookmarkStart w:id="33" w:name="national-average"/>
    <w:p>
      <w:pPr>
        <w:pStyle w:val="Heading4"/>
      </w:pPr>
      <w:r>
        <w:t xml:space="preserve">National average</w:t>
      </w:r>
    </w:p>
    <w:p>
      <w:pPr>
        <w:pStyle w:val="FirstParagraph"/>
      </w:pPr>
      <w:r>
        <w:t xml:space="preserve">The national averages in this report are for pupils in years 1 to 6 in mainstream primary schools in England.</w:t>
      </w:r>
    </w:p>
    <w:bookmarkEnd w:id="33"/>
    <w:bookmarkStart w:id="34" w:name="X1e1981c58d4f889ecc6d0d761561d5174bbf5ad"/>
    <w:p>
      <w:pPr>
        <w:pStyle w:val="Heading3"/>
      </w:pPr>
      <w:r>
        <w:t xml:space="preserve">Comparng your results with other attendance statistics</w:t>
      </w:r>
    </w:p>
    <w:p>
      <w:pPr>
        <w:pStyle w:val="FirstParagraph"/>
      </w:pPr>
      <w:r>
        <w:t xml:space="preserve">Comparisons with other data sets should be used with caution. They may be calculated differently or cover different time periods. This can cause large differences in results for each attendance measure.</w:t>
      </w:r>
    </w:p>
    <w:bookmarkEnd w:id="34"/>
    <w:bookmarkStart w:id="36" w:name="data-protection-and-data-sharing"/>
    <w:p>
      <w:pPr>
        <w:pStyle w:val="Heading3"/>
      </w:pPr>
      <w:r>
        <w:t xml:space="preserve">Data protection and data sharing</w:t>
      </w:r>
    </w:p>
    <w:p>
      <w:pPr>
        <w:pStyle w:val="FirstParagraph"/>
      </w:pPr>
      <w:r>
        <w:t xml:space="preserve">This report can contain sensitive information about your school. It is your responsibility to make sure you store and share the data securely. Review the</w:t>
      </w:r>
      <w:r>
        <w:t xml:space="preserve"> </w:t>
      </w:r>
      <w:hyperlink r:id="rId35">
        <w:r>
          <w:rPr>
            <w:rStyle w:val="Hyperlink"/>
          </w:rPr>
          <w:t xml:space="preserve">data protection impact assessment (DPIA)</w:t>
        </w:r>
      </w:hyperlink>
      <w:r>
        <w:t xml:space="preserve"> </w:t>
      </w:r>
      <w:r>
        <w:t xml:space="preserve">for the daily attendance data collection.</w:t>
      </w:r>
    </w:p>
    <w:p>
      <w:r>
        <w:br w:type="page"/>
      </w:r>
    </w:p>
    <w:bookmarkEnd w:id="36"/>
    <w:bookmarkEnd w:id="37"/>
    <w:bookmarkStart w:id="46" w:name="headline-attendance-and-absence"/>
    <w:p>
      <w:pPr>
        <w:pStyle w:val="Heading2"/>
      </w:pPr>
      <w:r>
        <w:t xml:space="preserve">Headline attendance and absence</w:t>
      </w:r>
    </w:p>
    <w:p>
      <w:pPr>
        <w:pStyle w:val="FirstParagraph"/>
      </w:pPr>
      <w:r>
        <w:t xml:space="preserve">Overall attendance and persistent absence percentage for your school compared to the national average from the start of the academic year 2024 to 2025, up to Tuesday 18 February 2025.</w:t>
      </w:r>
    </w:p>
    <w:bookmarkStart w:id="41" w:name="overall-school-attendance"/>
    <w:p>
      <w:pPr>
        <w:pStyle w:val="Heading3"/>
      </w:pPr>
      <w:r>
        <w:t xml:space="preserve">Overall school attendance</w:t>
      </w:r>
    </w:p>
    <w:p>
      <w:pPr>
        <w:pStyle w:val="CaptionedFigure"/>
      </w:pPr>
      <w:r>
        <w:drawing>
          <wp:inline>
            <wp:extent cx="5238750" cy="1309687"/>
            <wp:effectExtent b="0" l="0" r="0" t="0"/>
            <wp:docPr descr="Overall attendance is 96.4% which is 1.6% greater than the national average." title="" id="39" name="Picture"/>
            <a:graphic>
              <a:graphicData uri="http://schemas.openxmlformats.org/drawingml/2006/picture">
                <pic:pic>
                  <pic:nvPicPr>
                    <pic:cNvPr descr="C:/Users/ftrinci/CH3/1_BasicPrim/Official_Sensitive_10080695_Primary_School_Attendance_Summary_First_Spring_Term_18022025_files/figure-docx/unnamed-chunk-2-1.png" id="40" name="Picture"/>
                    <pic:cNvPicPr>
                      <a:picLocks noChangeArrowheads="1" noChangeAspect="1"/>
                    </pic:cNvPicPr>
                  </pic:nvPicPr>
                  <pic:blipFill>
                    <a:blip r:embed="rId38"/>
                    <a:stretch>
                      <a:fillRect/>
                    </a:stretch>
                  </pic:blipFill>
                  <pic:spPr bwMode="auto">
                    <a:xfrm>
                      <a:off x="0" y="0"/>
                      <a:ext cx="5238750" cy="1309687"/>
                    </a:xfrm>
                    <a:prstGeom prst="rect">
                      <a:avLst/>
                    </a:prstGeom>
                    <a:noFill/>
                    <a:ln w="9525">
                      <a:noFill/>
                      <a:headEnd/>
                      <a:tailEnd/>
                    </a:ln>
                  </pic:spPr>
                </pic:pic>
              </a:graphicData>
            </a:graphic>
          </wp:inline>
        </w:drawing>
      </w:r>
    </w:p>
    <w:p>
      <w:pPr>
        <w:pStyle w:val="ImageCaption"/>
      </w:pPr>
      <w:r>
        <w:t xml:space="preserve">Overall attendance is 96.4% which is 1.6% greater than the national average.</w:t>
      </w:r>
    </w:p>
    <w:bookmarkEnd w:id="41"/>
    <w:bookmarkStart w:id="45" w:name="absence-breakdown"/>
    <w:p>
      <w:pPr>
        <w:pStyle w:val="Heading3"/>
      </w:pPr>
      <w:r>
        <w:t xml:space="preserve">Absence breakdown</w:t>
      </w:r>
    </w:p>
    <w:p>
      <w:pPr>
        <w:pStyle w:val="CaptionedFigure"/>
      </w:pPr>
      <w:r>
        <w:drawing>
          <wp:inline>
            <wp:extent cx="5238750" cy="1309687"/>
            <wp:effectExtent b="0" l="0" r="0" t="0"/>
            <wp:docPr descr="Persistent absence is 7.3% which is 6.8% less than the national average." title="" id="43" name="Picture"/>
            <a:graphic>
              <a:graphicData uri="http://schemas.openxmlformats.org/drawingml/2006/picture">
                <pic:pic>
                  <pic:nvPicPr>
                    <pic:cNvPr descr="C:/Users/ftrinci/CH3/1_BasicPrim/Official_Sensitive_10080695_Primary_School_Attendance_Summary_First_Spring_Term_18022025_files/figure-docx/unnamed-chunk-3-1.png" id="44" name="Picture"/>
                    <pic:cNvPicPr>
                      <a:picLocks noChangeArrowheads="1" noChangeAspect="1"/>
                    </pic:cNvPicPr>
                  </pic:nvPicPr>
                  <pic:blipFill>
                    <a:blip r:embed="rId42"/>
                    <a:stretch>
                      <a:fillRect/>
                    </a:stretch>
                  </pic:blipFill>
                  <pic:spPr bwMode="auto">
                    <a:xfrm>
                      <a:off x="0" y="0"/>
                      <a:ext cx="5238750" cy="1309687"/>
                    </a:xfrm>
                    <a:prstGeom prst="rect">
                      <a:avLst/>
                    </a:prstGeom>
                    <a:noFill/>
                    <a:ln w="9525">
                      <a:noFill/>
                      <a:headEnd/>
                      <a:tailEnd/>
                    </a:ln>
                  </pic:spPr>
                </pic:pic>
              </a:graphicData>
            </a:graphic>
          </wp:inline>
        </w:drawing>
      </w:r>
    </w:p>
    <w:p>
      <w:pPr>
        <w:pStyle w:val="ImageCaption"/>
      </w:pPr>
      <w:r>
        <w:t xml:space="preserve">Persistent absence is 7.3% which is 6.8% less than the national average.</w:t>
      </w:r>
    </w:p>
    <w:p>
      <w:pPr>
        <w:pStyle w:val="BodyText"/>
      </w:pPr>
      <w:r>
        <w:t xml:space="preserve">Sources:</w:t>
      </w:r>
      <w:hyperlink r:id="rId28">
        <w:r>
          <w:rPr>
            <w:rStyle w:val="Hyperlink"/>
          </w:rPr>
          <w:t xml:space="preserve">Monitor your school attendance results</w:t>
        </w:r>
      </w:hyperlink>
      <w:r>
        <w:t xml:space="preserve"> </w:t>
      </w:r>
      <w:r>
        <w:t xml:space="preserve">for your school and nationally, data from the DfE.</w:t>
      </w:r>
    </w:p>
    <w:p>
      <w:r>
        <w:br w:type="page"/>
      </w:r>
    </w:p>
    <w:bookmarkEnd w:id="45"/>
    <w:bookmarkEnd w:id="46"/>
    <w:bookmarkStart w:id="63" w:name="overall-school-attendance-1"/>
    <w:p>
      <w:pPr>
        <w:pStyle w:val="Heading2"/>
      </w:pPr>
      <w:r>
        <w:t xml:space="preserve">Overall school attendance</w:t>
      </w:r>
    </w:p>
    <w:bookmarkStart w:id="52" w:name="X1848fe9168fda39cd4737ecca191b0121dfcc18"/>
    <w:p>
      <w:pPr>
        <w:pStyle w:val="Heading3"/>
      </w:pPr>
      <w:r>
        <w:t xml:space="preserve">Weekly attendance comparison for the first half of the spring term 2024 to 2025</w:t>
      </w:r>
    </w:p>
    <w:p>
      <w:pPr>
        <w:pStyle w:val="FirstParagraph"/>
      </w:pPr>
      <w:r>
        <w:rPr>
          <w:b/>
          <w:bCs/>
        </w:rPr>
        <w:t xml:space="preserve">Figure 1: Overall attendance percentage for years 1 to 6 in your school compared to the national average. Data is broken down by week, from Sunday 05 January 2025 up to Tuesday 18 February 2025.</w:t>
      </w:r>
    </w:p>
    <w:p>
      <w:pPr>
        <w:pStyle w:val="PIcture"/>
      </w:pPr>
      <w:r>
        <w:drawing>
          <wp:inline>
            <wp:extent cx="5943600" cy="2971800"/>
            <wp:effectExtent b="0" l="0" r="0" t="0"/>
            <wp:docPr descr="" title="" id="48" name="Picture"/>
            <a:graphic>
              <a:graphicData uri="http://schemas.openxmlformats.org/drawingml/2006/picture">
                <pic:pic>
                  <pic:nvPicPr>
                    <pic:cNvPr descr="C:/Users/ftrinci/CH3/1_BasicPrim/Official_Sensitive_10080695_Primary_School_Attendance_Summary_First_Spring_Term_18022025_files/figure-docx/unnamed-chunk-4-1.png" id="49" name="Picture"/>
                    <pic:cNvPicPr>
                      <a:picLocks noChangeArrowheads="1" noChangeAspect="1"/>
                    </pic:cNvPicPr>
                  </pic:nvPicPr>
                  <pic:blipFill>
                    <a:blip r:embed="rId47"/>
                    <a:stretch>
                      <a:fillRect/>
                    </a:stretch>
                  </pic:blipFill>
                  <pic:spPr bwMode="auto">
                    <a:xfrm>
                      <a:off x="0" y="0"/>
                      <a:ext cx="5943600" cy="2971800"/>
                    </a:xfrm>
                    <a:prstGeom prst="rect">
                      <a:avLst/>
                    </a:prstGeom>
                    <a:noFill/>
                    <a:ln w="9525">
                      <a:noFill/>
                      <a:headEnd/>
                      <a:tailEnd/>
                    </a:ln>
                  </pic:spPr>
                </pic:pic>
              </a:graphicData>
            </a:graphic>
          </wp:inline>
        </w:drawing>
      </w:r>
    </w:p>
    <w:bookmarkStart w:id="51" w:name="X1da5b0939a1b8143b7a8ba4b32ce547797c039e"/>
    <w:p>
      <w:pPr>
        <w:pStyle w:val="Heading4"/>
      </w:pPr>
      <w:r>
        <w:t xml:space="preserve">Graph alternative: table of weekly attendance for the first half of the spring term 2024 to 2025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Week start date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Attendance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National average</w:t>
            </w:r>
          </w:p>
        </w:tc>
      </w:tr>
      <w:tr>
        <w:trPr>
          <w:cantSplit/>
          <w:trHeight w:val="360" w:hRule="auto"/>
        </w:trPr>
        body1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06/01/2025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94.6%</w:t>
            </w:r>
          </w:p>
        </w:tc>
      </w:tr>
      <w:tr>
        <w:trPr>
          <w:cantSplit/>
          <w:trHeight w:val="360" w:hRule="auto"/>
        </w:trPr>
        body2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13/01/2025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95.3%</w:t>
            </w:r>
          </w:p>
        </w:tc>
      </w:tr>
      <w:tr>
        <w:trPr>
          <w:cantSplit/>
          <w:trHeight w:val="360" w:hRule="auto"/>
        </w:trPr>
        body3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20/01/2025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94.5%</w:t>
            </w:r>
          </w:p>
        </w:tc>
      </w:tr>
      <w:tr>
        <w:trPr>
          <w:cantSplit/>
          <w:trHeight w:val="360" w:hRule="auto"/>
        </w:trPr>
        body4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27/01/2025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94.5%</w:t>
            </w:r>
          </w:p>
        </w:tc>
      </w:tr>
      <w:tr>
        <w:trPr>
          <w:cantSplit/>
          <w:trHeight w:val="360" w:hRule="auto"/>
        </w:trPr>
        body5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03/02/2025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94.8%</w:t>
            </w:r>
          </w:p>
        </w:tc>
      </w:tr>
      <w:tr>
        <w:trPr>
          <w:cantSplit/>
          <w:trHeight w:val="360" w:hRule="auto"/>
        </w:trPr>
        body6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10/02/2025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94.1%</w:t>
            </w:r>
          </w:p>
        </w:tc>
      </w:tr>
    </w:tbl>
    <w:p>
      <w:pPr>
        <w:pStyle w:val="FirstParagraph"/>
      </w:pPr>
      <w:r>
        <w:t xml:space="preserve">Sources:</w:t>
      </w:r>
      <w:r>
        <w:t xml:space="preserve"> </w:t>
      </w:r>
      <w:hyperlink r:id="rId28">
        <w:r>
          <w:rPr>
            <w:rStyle w:val="Hyperlink"/>
          </w:rPr>
          <w:t xml:space="preserve">Monitor your school attendance results</w:t>
        </w:r>
      </w:hyperlink>
      <w:r>
        <w:t xml:space="preserve"> </w:t>
      </w:r>
      <w:r>
        <w:t xml:space="preserve">for your school and nationally, data from the DfE.</w:t>
      </w:r>
    </w:p>
    <w:p>
      <w:pPr>
        <w:pStyle w:val="BodyText"/>
      </w:pPr>
      <w:r>
        <w:t xml:space="preserve">Notes:</w:t>
      </w:r>
    </w:p>
    <w:p>
      <w:pPr>
        <w:pStyle w:val="BodyText"/>
      </w:pPr>
      <w:r>
        <w:t xml:space="preserve">Attendance results for your school and individual pupils are updated daily via the Monitor your school attendance tool.</w:t>
      </w:r>
    </w:p>
    <w:p>
      <w:pPr>
        <w:pStyle w:val="BodyText"/>
      </w:pPr>
      <w:hyperlink r:id="rId50">
        <w:r>
          <w:rPr>
            <w:rStyle w:val="Hyperlink"/>
          </w:rPr>
          <w:t xml:space="preserve">Pupil attendance in schools</w:t>
        </w:r>
      </w:hyperlink>
      <w:r>
        <w:t xml:space="preserve"> </w:t>
      </w:r>
      <w:r>
        <w:t xml:space="preserve">data from national and local authorities is published on Explore Education Statistics every 2 weeks.</w:t>
      </w:r>
    </w:p>
    <w:p>
      <w:r>
        <w:br w:type="page"/>
      </w:r>
    </w:p>
    <w:bookmarkEnd w:id="51"/>
    <w:bookmarkEnd w:id="52"/>
    <w:bookmarkStart w:id="57" w:name="attendance-by-pupil-group"/>
    <w:p>
      <w:pPr>
        <w:pStyle w:val="Heading3"/>
      </w:pPr>
      <w:r>
        <w:t xml:space="preserve">Attendance by pupil group</w:t>
      </w:r>
    </w:p>
    <w:p>
      <w:pPr>
        <w:pStyle w:val="FirstParagraph"/>
      </w:pPr>
      <w:r>
        <w:rPr>
          <w:b/>
          <w:bCs/>
        </w:rPr>
        <w:t xml:space="preserve">Figure 2: Bar chart showing attendance percentages for different pupil compared to the national averages. Results are based on pupils with free school meals (FSM) and special educational needs (SEN) support in years 1 to 6 from the start of the academic year 2024 to 2025, up to Tuesday 18 February 2025</w:t>
      </w:r>
      <w:r>
        <w:t xml:space="preserve">.</w:t>
      </w:r>
    </w:p>
    <w:p>
      <w:pPr>
        <w:pStyle w:val="PIcture"/>
      </w:pPr>
      <w:r>
        <w:drawing>
          <wp:inline>
            <wp:extent cx="5943600" cy="3962400"/>
            <wp:effectExtent b="0" l="0" r="0" t="0"/>
            <wp:docPr descr="" title="" id="54" name="Picture"/>
            <a:graphic>
              <a:graphicData uri="http://schemas.openxmlformats.org/drawingml/2006/picture">
                <pic:pic>
                  <pic:nvPicPr>
                    <pic:cNvPr descr="C:/Users/ftrinci/CH3/1_BasicPrim/Official_Sensitive_10080695_Primary_School_Attendance_Summary_First_Spring_Term_18022025_files/figure-docx/unnamed-chunk-7-1.png" id="55" name="Picture"/>
                    <pic:cNvPicPr>
                      <a:picLocks noChangeArrowheads="1" noChangeAspect="1"/>
                    </pic:cNvPicPr>
                  </pic:nvPicPr>
                  <pic:blipFill>
                    <a:blip r:embed="rId53"/>
                    <a:stretch>
                      <a:fillRect/>
                    </a:stretch>
                  </pic:blipFill>
                  <pic:spPr bwMode="auto">
                    <a:xfrm>
                      <a:off x="0" y="0"/>
                      <a:ext cx="5943600" cy="3962400"/>
                    </a:xfrm>
                    <a:prstGeom prst="rect">
                      <a:avLst/>
                    </a:prstGeom>
                    <a:noFill/>
                    <a:ln w="9525">
                      <a:noFill/>
                      <a:headEnd/>
                      <a:tailEnd/>
                    </a:ln>
                  </pic:spPr>
                </pic:pic>
              </a:graphicData>
            </a:graphic>
          </wp:inline>
        </w:drawing>
      </w:r>
    </w:p>
    <w:bookmarkStart w:id="56" w:name="X97bea6b019f8c517de93014cb690db455c7cd0f"/>
    <w:p>
      <w:pPr>
        <w:pStyle w:val="Heading4"/>
      </w:pPr>
      <w:r>
        <w:t xml:space="preserve">Graph alternative: table of attendance by pupil groups from the start of the academic year 2024 to 2025, up to Tuesday 18 February 2025.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 group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Attendance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National average</w:t>
            </w:r>
          </w:p>
        </w:tc>
      </w:tr>
      <w:tr>
        <w:trPr>
          <w:cantSplit/>
          <w:trHeight w:val="360" w:hRule="auto"/>
        </w:trPr>
        body1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All</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94.8%</w:t>
            </w:r>
          </w:p>
        </w:tc>
      </w:tr>
      <w:tr>
        <w:trPr>
          <w:cantSplit/>
          <w:trHeight w:val="360" w:hRule="auto"/>
        </w:trPr>
        body2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FSM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92.3%</w:t>
            </w:r>
          </w:p>
        </w:tc>
      </w:tr>
      <w:tr>
        <w:trPr>
          <w:cantSplit/>
          <w:trHeight w:val="360" w:hRule="auto"/>
        </w:trPr>
        body3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FSM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95.8%</w:t>
            </w:r>
          </w:p>
        </w:tc>
      </w:tr>
      <w:tr>
        <w:trPr>
          <w:cantSplit/>
          <w:trHeight w:val="360" w:hRule="auto"/>
        </w:trPr>
        body4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92.3%</w:t>
            </w:r>
          </w:p>
        </w:tc>
      </w:tr>
      <w:tr>
        <w:trPr>
          <w:cantSplit/>
          <w:trHeight w:val="360" w:hRule="auto"/>
        </w:trPr>
        body5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95.4%</w:t>
            </w:r>
          </w:p>
        </w:tc>
      </w:tr>
    </w:tbl>
    <w:p>
      <w:pPr>
        <w:pStyle w:val="FirstParagraph"/>
      </w:pPr>
      <w:r>
        <w:t xml:space="preserve">Sources:</w:t>
      </w:r>
      <w:r>
        <w:t xml:space="preserve"> </w:t>
      </w:r>
      <w:hyperlink r:id="rId28">
        <w:r>
          <w:rPr>
            <w:rStyle w:val="Hyperlink"/>
          </w:rPr>
          <w:t xml:space="preserve">Monitor your school attendance results</w:t>
        </w:r>
      </w:hyperlink>
      <w:r>
        <w:t xml:space="preserve"> </w:t>
      </w:r>
      <w:r>
        <w:t xml:space="preserve">for your school and nationally, data from the DfE.</w:t>
      </w:r>
    </w:p>
    <w:p>
      <w:pPr>
        <w:pStyle w:val="BodyText"/>
      </w:pPr>
      <w:r>
        <w:t xml:space="preserve">Notes:</w:t>
      </w:r>
    </w:p>
    <w:p>
      <w:pPr>
        <w:pStyle w:val="BodyText"/>
      </w:pPr>
      <w:r>
        <w:t xml:space="preserve">Special education needs (SEN) support data is taken from the latest record available in your management information system (MIS). SEN support pupil numbers include those with an education health and care plan (EHCP).</w:t>
      </w:r>
    </w:p>
    <w:p>
      <w:pPr>
        <w:pStyle w:val="BodyText"/>
      </w:pPr>
      <w:r>
        <w:t xml:space="preserve">Year-to-date attendance figures for SEN and EHCP pupils are available via the Monitor your school attendance tool.</w:t>
      </w:r>
    </w:p>
    <w:p>
      <w:r>
        <w:br w:type="page"/>
      </w:r>
    </w:p>
    <w:bookmarkEnd w:id="56"/>
    <w:bookmarkEnd w:id="57"/>
    <w:bookmarkStart w:id="62" w:name="previous-academic-year-comparison"/>
    <w:p>
      <w:pPr>
        <w:pStyle w:val="Heading3"/>
      </w:pPr>
      <w:r>
        <w:t xml:space="preserve">Previous academic year comparison</w:t>
      </w:r>
    </w:p>
    <w:p>
      <w:pPr>
        <w:pStyle w:val="FirstParagraph"/>
      </w:pPr>
      <w:r>
        <w:rPr>
          <w:b/>
          <w:bCs/>
        </w:rPr>
        <w:t xml:space="preserve">Figure 3: Bar chart showing attendance for your school and different pupil groups from the start of the academic year 2024 to 2025, up to Tuesday 18 February 2025 compared to the same time period in the previous academic year</w:t>
      </w:r>
      <w:r>
        <w:t xml:space="preserve">.</w:t>
      </w:r>
    </w:p>
    <w:p>
      <w:pPr>
        <w:pStyle w:val="PIcture"/>
      </w:pPr>
      <w:r>
        <w:drawing>
          <wp:inline>
            <wp:extent cx="5943600" cy="3962400"/>
            <wp:effectExtent b="0" l="0" r="0" t="0"/>
            <wp:docPr descr="" title="" id="59" name="Picture"/>
            <a:graphic>
              <a:graphicData uri="http://schemas.openxmlformats.org/drawingml/2006/picture">
                <pic:pic>
                  <pic:nvPicPr>
                    <pic:cNvPr descr="C:/Users/ftrinci/CH3/1_BasicPrim/Official_Sensitive_10080695_Primary_School_Attendance_Summary_First_Spring_Term_18022025_files/figure-docx/unnamed-chunk-10-1.png" id="60" name="Picture"/>
                    <pic:cNvPicPr>
                      <a:picLocks noChangeArrowheads="1" noChangeAspect="1"/>
                    </pic:cNvPicPr>
                  </pic:nvPicPr>
                  <pic:blipFill>
                    <a:blip r:embed="rId58"/>
                    <a:stretch>
                      <a:fillRect/>
                    </a:stretch>
                  </pic:blipFill>
                  <pic:spPr bwMode="auto">
                    <a:xfrm>
                      <a:off x="0" y="0"/>
                      <a:ext cx="5943600" cy="3962400"/>
                    </a:xfrm>
                    <a:prstGeom prst="rect">
                      <a:avLst/>
                    </a:prstGeom>
                    <a:noFill/>
                    <a:ln w="9525">
                      <a:noFill/>
                      <a:headEnd/>
                      <a:tailEnd/>
                    </a:ln>
                  </pic:spPr>
                </pic:pic>
              </a:graphicData>
            </a:graphic>
          </wp:inline>
        </w:drawing>
      </w:r>
    </w:p>
    <w:bookmarkStart w:id="61" w:name="X57a47925fc9060cf4710bfccb47b3d9a197dff2"/>
    <w:p>
      <w:pPr>
        <w:pStyle w:val="Heading4"/>
      </w:pPr>
      <w:r>
        <w:t xml:space="preserve">Graph alternative: table of attendance by pupil groups from the start of the academic year 2024 to 2025, up to Tuesday 18 February 2025 , compared to the same period in the previous academic year.</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 group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Attendance 2023/4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Attendance 2024/5</w:t>
            </w:r>
          </w:p>
        </w:tc>
      </w:tr>
      <w:tr>
        <w:trPr>
          <w:cantSplit/>
          <w:trHeight w:val="360" w:hRule="auto"/>
        </w:trPr>
        body1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All</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96.4%</w:t>
            </w:r>
          </w:p>
        </w:tc>
      </w:tr>
      <w:tr>
        <w:trPr>
          <w:cantSplit/>
          <w:trHeight w:val="360" w:hRule="auto"/>
        </w:trPr>
        body2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FSM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95.4%</w:t>
            </w:r>
          </w:p>
        </w:tc>
      </w:tr>
      <w:tr>
        <w:trPr>
          <w:cantSplit/>
          <w:trHeight w:val="360" w:hRule="auto"/>
        </w:trPr>
        body3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FSM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96.6%</w:t>
            </w:r>
          </w:p>
        </w:tc>
      </w:tr>
      <w:tr>
        <w:trPr>
          <w:cantSplit/>
          <w:trHeight w:val="360" w:hRule="auto"/>
        </w:trPr>
        body4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95.3%</w:t>
            </w:r>
          </w:p>
        </w:tc>
      </w:tr>
      <w:tr>
        <w:trPr>
          <w:cantSplit/>
          <w:trHeight w:val="360" w:hRule="auto"/>
        </w:trPr>
        body5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96.7%</w:t>
            </w:r>
          </w:p>
        </w:tc>
      </w:tr>
    </w:tbl>
    <w:p>
      <w:pPr>
        <w:pStyle w:val="FirstParagraph"/>
      </w:pPr>
      <w:r>
        <w:t xml:space="preserve">Sources:</w:t>
      </w:r>
      <w:r>
        <w:t xml:space="preserve"> </w:t>
      </w:r>
      <w:hyperlink r:id="rId28">
        <w:r>
          <w:rPr>
            <w:rStyle w:val="Hyperlink"/>
          </w:rPr>
          <w:t xml:space="preserve">Monitor your school attendance results</w:t>
        </w:r>
      </w:hyperlink>
      <w:r>
        <w:t xml:space="preserve"> </w:t>
      </w:r>
      <w:r>
        <w:t xml:space="preserve">for your school, data from the DfE.</w:t>
      </w:r>
    </w:p>
    <w:p>
      <w:pPr>
        <w:pStyle w:val="BodyText"/>
      </w:pPr>
      <w:r>
        <w:t xml:space="preserve">Notes:</w:t>
      </w:r>
    </w:p>
    <w:p>
      <w:pPr>
        <w:pStyle w:val="BodyText"/>
      </w:pPr>
      <w:r>
        <w:t xml:space="preserve">You can compare the current and previous academic year for the whole school, an individual pupil or pupil characteristic groups via the Monitor your school attendance tool:</w:t>
      </w:r>
    </w:p>
    <w:p>
      <w:pPr>
        <w:pStyle w:val="Compact"/>
        <w:numPr>
          <w:ilvl w:val="0"/>
          <w:numId w:val="1003"/>
        </w:numPr>
      </w:pPr>
      <w:r>
        <w:t xml:space="preserve">Year-to-date report</w:t>
      </w:r>
    </w:p>
    <w:p>
      <w:pPr>
        <w:pStyle w:val="Compact"/>
        <w:numPr>
          <w:ilvl w:val="0"/>
          <w:numId w:val="1003"/>
        </w:numPr>
      </w:pPr>
      <w:r>
        <w:t xml:space="preserve">Previous academic year report</w:t>
      </w:r>
    </w:p>
    <w:p>
      <w:r>
        <w:br w:type="page"/>
      </w:r>
    </w:p>
    <w:bookmarkEnd w:id="61"/>
    <w:bookmarkEnd w:id="62"/>
    <w:bookmarkEnd w:id="63"/>
    <w:bookmarkStart w:id="65" w:name="absence-by-year-group"/>
    <w:p>
      <w:pPr>
        <w:pStyle w:val="Heading2"/>
      </w:pPr>
      <w:r>
        <w:t xml:space="preserve">Absence by year group</w:t>
      </w:r>
    </w:p>
    <w:p>
      <w:pPr>
        <w:pStyle w:val="FirstParagraph"/>
      </w:pPr>
      <w:r>
        <w:rPr>
          <w:b/>
          <w:bCs/>
        </w:rPr>
        <w:t xml:space="preserve">Figure 4: Table showing the percentage of pupils in each year group in each 5% absence band up to 50% and above, from the start of the academic year 2024 to 2025, up toTuesday 18 February 2025. Results are based on pupils with 20 or more possible sessions in the academic year-to-date</w:t>
      </w:r>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 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Overall Absence Band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6</w:t>
            </w:r>
          </w:p>
        </w:tc>
      </w:tr>
      <w:tr>
        <w:trPr>
          <w:cantSplit/>
          <w:trHeight w:val="360" w:hRule="auto"/>
        </w:trPr>
        body 1
        <w:tc>
          <w:tcPr>
            <w:tcBorders>
              <w:bottom w:val="none" w:sz="0"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65%</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85%</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90%</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80%</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82%</w:t>
            </w:r>
          </w:p>
        </w:tc>
        <w:tc>
          <w:tcPr>
            <w:tcBorders>
              <w:bottom w:val="none" w:sz="0" w:space="0" w:color="000000"/>
              <w:top w:val="single" w:sz="8"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75%</w:t>
            </w:r>
          </w:p>
        </w:tc>
      </w:tr>
      <w:tr>
        <w:trPr>
          <w:cantSplit/>
          <w:trHeight w:val="360" w:hRule="auto"/>
        </w:trPr>
        body 2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24%</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16%</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14%</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10%</w:t>
            </w:r>
          </w:p>
        </w:tc>
      </w:tr>
      <w:tr>
        <w:trPr>
          <w:cantSplit/>
          <w:trHeight w:val="360" w:hRule="auto"/>
        </w:trPr>
        body 3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12%</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4%</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10%</w:t>
            </w:r>
          </w:p>
        </w:tc>
      </w:tr>
      <w:tr>
        <w:trPr>
          <w:cantSplit/>
          <w:trHeight w:val="360" w:hRule="auto"/>
        </w:trPr>
        body 4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5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r>
      <w:tr>
        <w:trPr>
          <w:cantSplit/>
          <w:trHeight w:val="360" w:hRule="auto"/>
        </w:trPr>
        body 6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7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8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9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body10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body11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and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above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(severely</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absent)</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body12
        <w:tc>
          <w:tcPr>
            <w:tcBorders>
              <w:bottom w:val="single" w:sz="8"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and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above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(persistently</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absent)</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12%</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4%</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single" w:sz="8"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15%</w:t>
            </w:r>
          </w:p>
        </w:tc>
      </w:tr>
    </w:tbl>
    <w:p>
      <w:pPr>
        <w:pStyle w:val="BodyText"/>
      </w:pPr>
      <w:r>
        <w:t xml:space="preserve">Sources:</w:t>
      </w:r>
      <w:r>
        <w:t xml:space="preserve"> </w:t>
      </w:r>
      <w:hyperlink r:id="rId28">
        <w:r>
          <w:rPr>
            <w:rStyle w:val="Hyperlink"/>
          </w:rPr>
          <w:t xml:space="preserve">Monitor your school attendance results</w:t>
        </w:r>
      </w:hyperlink>
      <w:r>
        <w:t xml:space="preserve"> </w:t>
      </w:r>
      <w:r>
        <w:t xml:space="preserve">for your school, data from the DfE.</w:t>
      </w:r>
    </w:p>
    <w:p>
      <w:pPr>
        <w:pStyle w:val="BodyText"/>
      </w:pPr>
      <w:r>
        <w:t xml:space="preserve">Notes:</w:t>
      </w:r>
    </w:p>
    <w:p>
      <w:pPr>
        <w:pStyle w:val="BodyText"/>
      </w:pPr>
      <w:r>
        <w:t xml:space="preserve">Absence data is updated daily via the Monitor your school attendance tool. Use the absence bandings report to review the absence distribution for each of your schools, following the approach set out in the</w:t>
      </w:r>
      <w:r>
        <w:t xml:space="preserve"> </w:t>
      </w:r>
      <w:hyperlink r:id="rId64">
        <w:r>
          <w:rPr>
            <w:rStyle w:val="Hyperlink"/>
          </w:rPr>
          <w:t xml:space="preserve">absence bandings user guide</w:t>
        </w:r>
      </w:hyperlink>
      <w:r>
        <w:t xml:space="preserve"> </w:t>
      </w:r>
      <w:r>
        <w:t xml:space="preserve">on GOV.UK.</w:t>
      </w:r>
    </w:p>
    <w:p>
      <w:pPr>
        <w:pStyle w:val="BodyText"/>
      </w:pPr>
      <w:r>
        <w:t xml:space="preserve">© Crown copyright 2025</w:t>
      </w:r>
    </w:p>
    <w:bookmarkEnd w:id="65"/>
    <w:bookmarkEnd w:id="66"/>
    <w:sectPr w:rsidR="00EF76AF" w:rsidRPr="00B10500">
      <w:footerReference r:id="rId9"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774963"/>
      <w:docPartObj>
        <w:docPartGallery w:val="Page Numbers (Bottom of Page)"/>
        <w:docPartUnique/>
      </w:docPartObj>
    </w:sdtPr>
    <w:sdtEndPr/>
    <w:sdtContent>
      <w:p w14:paraId="2526B90E" w14:textId="27ADE740" w:rsidR="00887399" w:rsidRDefault="00887399">
        <w:pPr>
          <w:pStyle w:val="Footer"/>
          <w:jc w:val="center"/>
        </w:pPr>
        <w:r>
          <w:fldChar w:fldCharType="begin"/>
        </w:r>
        <w:r>
          <w:instrText>PAGE   \* MERGEFORMAT</w:instrText>
        </w:r>
        <w:r>
          <w:fldChar w:fldCharType="separate"/>
        </w:r>
        <w:r>
          <w:rPr>
            <w:lang w:val="en-GB"/>
          </w:rPr>
          <w:t>2</w:t>
        </w:r>
        <w:r>
          <w:fldChar w:fldCharType="end"/>
        </w:r>
      </w:p>
    </w:sdtContent>
  </w:sdt>
  <w:p w14:paraId="076824EA" w14:textId="77777777" w:rsidR="00887399" w:rsidRDefault="00887399" w:rsidP="00887399">
    <w:pPr>
      <w:pStyle w:val="Footer"/>
      <w:jc w:val="cen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C2D26C8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909391844" w:numId="1">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6"/>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30671"/>
    <w:rsid w:val="00010E45"/>
    <w:rsid w:val="00023851"/>
    <w:rsid w:val="00055FE1"/>
    <w:rsid w:val="000652E5"/>
    <w:rsid w:val="00082FFA"/>
    <w:rsid w:val="000E52A5"/>
    <w:rsid w:val="001112C6"/>
    <w:rsid w:val="00120C3F"/>
    <w:rsid w:val="00122C6E"/>
    <w:rsid w:val="00134ABF"/>
    <w:rsid w:val="00150029"/>
    <w:rsid w:val="001D02F8"/>
    <w:rsid w:val="001E6894"/>
    <w:rsid w:val="002344CF"/>
    <w:rsid w:val="002360A1"/>
    <w:rsid w:val="00260E26"/>
    <w:rsid w:val="002902A1"/>
    <w:rsid w:val="00294B74"/>
    <w:rsid w:val="002C7AD8"/>
    <w:rsid w:val="002F0EFA"/>
    <w:rsid w:val="00303011"/>
    <w:rsid w:val="00310A49"/>
    <w:rsid w:val="00320794"/>
    <w:rsid w:val="00347B95"/>
    <w:rsid w:val="00353335"/>
    <w:rsid w:val="0036354C"/>
    <w:rsid w:val="003D5704"/>
    <w:rsid w:val="003E7A1B"/>
    <w:rsid w:val="003F5F76"/>
    <w:rsid w:val="00421356"/>
    <w:rsid w:val="00461814"/>
    <w:rsid w:val="00484822"/>
    <w:rsid w:val="004942DF"/>
    <w:rsid w:val="004A14F5"/>
    <w:rsid w:val="004B6D48"/>
    <w:rsid w:val="004D73B0"/>
    <w:rsid w:val="00526EAE"/>
    <w:rsid w:val="00536110"/>
    <w:rsid w:val="00547A99"/>
    <w:rsid w:val="005527F8"/>
    <w:rsid w:val="005E114F"/>
    <w:rsid w:val="005F29F2"/>
    <w:rsid w:val="006268E6"/>
    <w:rsid w:val="0065247F"/>
    <w:rsid w:val="006D48B8"/>
    <w:rsid w:val="006E6D11"/>
    <w:rsid w:val="006E7139"/>
    <w:rsid w:val="00717BA3"/>
    <w:rsid w:val="007B6705"/>
    <w:rsid w:val="007F6432"/>
    <w:rsid w:val="00817EA9"/>
    <w:rsid w:val="00825643"/>
    <w:rsid w:val="0083089E"/>
    <w:rsid w:val="00854F55"/>
    <w:rsid w:val="00887399"/>
    <w:rsid w:val="008B1CFF"/>
    <w:rsid w:val="008B2FED"/>
    <w:rsid w:val="00947CAA"/>
    <w:rsid w:val="00954356"/>
    <w:rsid w:val="00964563"/>
    <w:rsid w:val="00973ED2"/>
    <w:rsid w:val="009842B2"/>
    <w:rsid w:val="009A1706"/>
    <w:rsid w:val="009E7EFF"/>
    <w:rsid w:val="00A0270A"/>
    <w:rsid w:val="00A4649B"/>
    <w:rsid w:val="00A56CCA"/>
    <w:rsid w:val="00A75A02"/>
    <w:rsid w:val="00A84A17"/>
    <w:rsid w:val="00AA1EA0"/>
    <w:rsid w:val="00AC7188"/>
    <w:rsid w:val="00AE1FE0"/>
    <w:rsid w:val="00AE7901"/>
    <w:rsid w:val="00AF42B5"/>
    <w:rsid w:val="00B10500"/>
    <w:rsid w:val="00B14DB2"/>
    <w:rsid w:val="00B660D1"/>
    <w:rsid w:val="00B81E77"/>
    <w:rsid w:val="00B918EC"/>
    <w:rsid w:val="00BB5280"/>
    <w:rsid w:val="00C22B21"/>
    <w:rsid w:val="00C51F5B"/>
    <w:rsid w:val="00C6229B"/>
    <w:rsid w:val="00C6750A"/>
    <w:rsid w:val="00C70B4F"/>
    <w:rsid w:val="00CE7E85"/>
    <w:rsid w:val="00D01383"/>
    <w:rsid w:val="00D02C54"/>
    <w:rsid w:val="00D30671"/>
    <w:rsid w:val="00D70FE0"/>
    <w:rsid w:val="00D762C8"/>
    <w:rsid w:val="00D8061B"/>
    <w:rsid w:val="00DF325B"/>
    <w:rsid w:val="00E0381B"/>
    <w:rsid w:val="00E040DD"/>
    <w:rsid w:val="00E33FB1"/>
    <w:rsid w:val="00E46583"/>
    <w:rsid w:val="00E46D52"/>
    <w:rsid w:val="00E57CDD"/>
    <w:rsid w:val="00E701C5"/>
    <w:rsid w:val="00E92509"/>
    <w:rsid w:val="00EA4E0C"/>
    <w:rsid w:val="00EB05F6"/>
    <w:rsid w:val="00EB6886"/>
    <w:rsid w:val="00EF76AF"/>
    <w:rsid w:val="00F031EF"/>
    <w:rsid w:val="00F22EEF"/>
    <w:rsid w:val="00F44110"/>
    <w:rsid w:val="00FA7BD7"/>
    <w:rsid w:val="00FB4011"/>
    <w:rsid w:val="00FC5152"/>
    <w:rsid w:val="00FD7914"/>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toc 1" w:uiPriority="39"/>
    <w:lsdException w:name="toc 2" w:uiPriority="39"/>
    <w:lsdException w:name="toc 3" w:uiPriority="39"/>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381B"/>
    <w:rPr>
      <w:rFonts w:ascii="Arial" w:hAnsi="Arial"/>
    </w:rPr>
  </w:style>
  <w:style w:styleId="Heading1" w:type="paragraph">
    <w:name w:val="heading 1"/>
    <w:basedOn w:val="Normal"/>
    <w:next w:val="BodyText"/>
    <w:uiPriority w:val="9"/>
    <w:qFormat/>
    <w:rsid w:val="00D70FE0"/>
    <w:pPr>
      <w:keepNext/>
      <w:keepLines/>
      <w:spacing w:after="120" w:before="120"/>
      <w:outlineLvl w:val="0"/>
    </w:pPr>
    <w:rPr>
      <w:rFonts w:cstheme="majorBidi" w:eastAsiaTheme="majorEastAsia"/>
      <w:b/>
      <w:bCs/>
      <w:color w:val="104F75"/>
      <w:sz w:val="84"/>
      <w:szCs w:val="32"/>
    </w:rPr>
  </w:style>
  <w:style w:styleId="Heading2" w:type="paragraph">
    <w:name w:val="heading 2"/>
    <w:basedOn w:val="Normal"/>
    <w:next w:val="BodyText"/>
    <w:uiPriority w:val="9"/>
    <w:unhideWhenUsed/>
    <w:qFormat/>
    <w:rsid w:val="00536110"/>
    <w:pPr>
      <w:keepNext/>
      <w:keepLines/>
      <w:spacing w:after="0" w:before="200"/>
      <w:outlineLvl w:val="1"/>
    </w:pPr>
    <w:rPr>
      <w:rFonts w:cstheme="majorBidi" w:eastAsiaTheme="majorEastAsia"/>
      <w:b/>
      <w:bCs/>
      <w:color w:val="104F75"/>
      <w:sz w:val="36"/>
      <w:szCs w:val="28"/>
    </w:rPr>
  </w:style>
  <w:style w:styleId="Heading3" w:type="paragraph">
    <w:name w:val="heading 3"/>
    <w:basedOn w:val="Normal"/>
    <w:next w:val="BodyText"/>
    <w:uiPriority w:val="9"/>
    <w:unhideWhenUsed/>
    <w:qFormat/>
    <w:rsid w:val="00EB05F6"/>
    <w:pPr>
      <w:keepNext/>
      <w:keepLines/>
      <w:spacing w:after="0" w:before="200"/>
      <w:outlineLvl w:val="2"/>
    </w:pPr>
    <w:rPr>
      <w:rFonts w:cstheme="majorBidi" w:eastAsiaTheme="majorEastAsia"/>
      <w:b/>
      <w:bCs/>
      <w:color w:val="104F75"/>
      <w:sz w:val="32"/>
    </w:rPr>
  </w:style>
  <w:style w:styleId="Heading4" w:type="paragraph">
    <w:name w:val="heading 4"/>
    <w:basedOn w:val="Normal"/>
    <w:next w:val="BodyText"/>
    <w:uiPriority w:val="9"/>
    <w:unhideWhenUsed/>
    <w:qFormat/>
    <w:rsid w:val="00AE1FE0"/>
    <w:pPr>
      <w:keepNext/>
      <w:keepLines/>
      <w:spacing w:after="0" w:before="200"/>
      <w:outlineLvl w:val="3"/>
    </w:pPr>
    <w:rPr>
      <w:rFonts w:cstheme="majorBidi" w:eastAsiaTheme="majorEastAsia"/>
      <w:b/>
      <w:bCs/>
      <w:color w:val="104F75"/>
      <w:sz w:val="28"/>
    </w:rPr>
  </w:style>
  <w:style w:styleId="Heading5" w:type="paragraph">
    <w:name w:val="heading 5"/>
    <w:basedOn w:val="Normal"/>
    <w:next w:val="BodyText"/>
    <w:uiPriority w:val="9"/>
    <w:unhideWhenUsed/>
    <w:qFormat/>
    <w:rsid w:val="001112C6"/>
    <w:pPr>
      <w:keepNext/>
      <w:keepLines/>
      <w:spacing w:after="0" w:before="200"/>
      <w:outlineLvl w:val="4"/>
    </w:pPr>
    <w:rPr>
      <w:rFonts w:cstheme="majorBidi" w:eastAsiaTheme="majorEastAsia"/>
      <w:iCs/>
      <w:color w:val="104F75"/>
    </w:rPr>
  </w:style>
  <w:style w:styleId="Heading6" w:type="paragraph">
    <w:name w:val="heading 6"/>
    <w:basedOn w:val="Normal"/>
    <w:next w:val="BodyText"/>
    <w:uiPriority w:val="9"/>
    <w:unhideWhenUsed/>
    <w:qFormat/>
    <w:rsid w:val="007F6432"/>
    <w:pPr>
      <w:keepNext/>
      <w:keepLines/>
      <w:spacing w:after="1080" w:before="1280"/>
      <w:outlineLvl w:val="5"/>
    </w:pPr>
    <w:rPr>
      <w:rFonts w:cstheme="majorBidi" w:eastAsiaTheme="majorEastAsia"/>
      <w:b/>
      <w:color w:val="104F75"/>
      <w:sz w:val="40"/>
    </w:rPr>
  </w:style>
  <w:style w:styleId="Heading7" w:type="paragraph">
    <w:name w:val="heading 7"/>
    <w:basedOn w:val="Normal"/>
    <w:next w:val="BodyText"/>
    <w:uiPriority w:val="9"/>
    <w:unhideWhenUsed/>
    <w:qFormat/>
    <w:rsid w:val="00A75A02"/>
    <w:pPr>
      <w:keepNext/>
      <w:keepLines/>
      <w:spacing w:after="360" w:before="560"/>
      <w:outlineLvl w:val="6"/>
    </w:pPr>
    <w:rPr>
      <w:rFonts w:cstheme="majorBidi" w:eastAsiaTheme="majorEastAsia"/>
      <w:b/>
      <w:color w:val="104F75"/>
      <w:sz w:val="40"/>
    </w:rPr>
  </w:style>
  <w:style w:styleId="Heading8" w:type="paragraph">
    <w:name w:val="heading 8"/>
    <w:basedOn w:val="Normal"/>
    <w:next w:val="BodyText"/>
    <w:uiPriority w:val="9"/>
    <w:unhideWhenUsed/>
    <w:qFormat/>
    <w:rsid w:val="001112C6"/>
    <w:pPr>
      <w:keepNext/>
      <w:keepLines/>
      <w:spacing w:after="0" w:before="200"/>
      <w:outlineLvl w:val="7"/>
    </w:pPr>
    <w:rPr>
      <w:rFonts w:cstheme="majorBidi" w:eastAsiaTheme="majorEastAsia"/>
      <w:color w:val="104F75"/>
    </w:rPr>
  </w:style>
  <w:style w:styleId="Heading9" w:type="paragraph">
    <w:name w:val="heading 9"/>
    <w:basedOn w:val="Normal"/>
    <w:next w:val="BodyText"/>
    <w:uiPriority w:val="9"/>
    <w:unhideWhenUsed/>
    <w:qFormat/>
    <w:rsid w:val="001112C6"/>
    <w:pPr>
      <w:keepNext/>
      <w:keepLines/>
      <w:spacing w:after="0" w:before="200"/>
      <w:outlineLvl w:val="8"/>
    </w:pPr>
    <w:rPr>
      <w:rFonts w:asciiTheme="majorHAnsi" w:cstheme="majorBidi" w:eastAsiaTheme="majorEastAsia" w:hAnsiTheme="majorHAnsi"/>
      <w:color w:val="104F75"/>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83089E"/>
    <w:pPr>
      <w:spacing w:after="180" w:before="180"/>
    </w:pPr>
  </w:style>
  <w:style w:customStyle="1" w:styleId="FirstParagraph" w:type="paragraph">
    <w:name w:val="First Paragraph"/>
    <w:basedOn w:val="BodyText"/>
    <w:next w:val="BodyText"/>
    <w:qFormat/>
    <w:rsid w:val="0083089E"/>
  </w:style>
  <w:style w:customStyle="1" w:styleId="Compact" w:type="paragraph">
    <w:name w:val="Compact"/>
    <w:basedOn w:val="BodyText"/>
    <w:qFormat/>
    <w:rsid w:val="00973ED2"/>
    <w:pPr>
      <w:spacing w:after="36" w:before="36" w:line="360" w:lineRule="auto"/>
    </w:pPr>
  </w:style>
  <w:style w:styleId="Title" w:type="paragraph">
    <w:name w:val="Title"/>
    <w:basedOn w:val="Normal"/>
    <w:next w:val="BodyText"/>
    <w:qFormat/>
    <w:rsid w:val="001112C6"/>
    <w:pPr>
      <w:keepNext/>
      <w:keepLines/>
      <w:spacing w:after="240" w:before="480"/>
      <w:jc w:val="center"/>
    </w:pPr>
    <w:rPr>
      <w:rFonts w:cstheme="majorBidi" w:eastAsiaTheme="majorEastAsia"/>
      <w:b/>
      <w:bCs/>
      <w:color w:val="104F75"/>
      <w:sz w:val="36"/>
      <w:szCs w:val="36"/>
    </w:rPr>
  </w:style>
  <w:style w:styleId="Subtitle" w:type="paragraph">
    <w:name w:val="Subtitle"/>
    <w:basedOn w:val="Title"/>
    <w:next w:val="BodyText"/>
    <w:qFormat/>
    <w:rsid w:val="001112C6"/>
    <w:pPr>
      <w:spacing w:before="240"/>
    </w:pPr>
    <w:rPr>
      <w:sz w:val="32"/>
      <w:szCs w:val="30"/>
    </w:rPr>
  </w:style>
  <w:style w:customStyle="1" w:styleId="Author" w:type="paragraph">
    <w:name w:val="Author"/>
    <w:next w:val="BodyText"/>
    <w:qFormat/>
    <w:rsid w:val="00D01383"/>
    <w:pPr>
      <w:keepNext/>
      <w:keepLines/>
      <w:jc w:val="center"/>
    </w:pPr>
    <w:rPr>
      <w:rFonts w:ascii="Arial" w:hAnsi="Arial"/>
    </w:rPr>
  </w:style>
  <w:style w:styleId="Date" w:type="paragraph">
    <w:name w:val="Date"/>
    <w:next w:val="BodyText"/>
    <w:qFormat/>
    <w:rsid w:val="00D01383"/>
    <w:pPr>
      <w:keepNext/>
      <w:keepLines/>
      <w:jc w:val="center"/>
    </w:pPr>
    <w:rPr>
      <w:rFonts w:ascii="Arial" w:hAnsi="Arial"/>
    </w:r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rsid w:val="00D01383"/>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uiPriority w:val="9"/>
    <w:unhideWhenUsed/>
    <w:qFormat/>
    <w:pPr>
      <w:spacing w:after="100" w:before="100"/>
      <w:ind w:left="480" w:right="480"/>
    </w:pPr>
  </w:style>
  <w:style w:customStyle="1" w:styleId="Table" w:type="table">
    <w:name w:val="Table"/>
    <w:semiHidden/>
    <w:unhideWhenUsed/>
    <w:qFormat/>
    <w:rsid w:val="0065247F"/>
    <w:tblPr>
      <w:tblInd w:type="dxa" w:w="0"/>
      <w:tblBorders>
        <w:insideH w:color="A6A6A6" w:space="0" w:sz="4" w:themeColor="background1" w:themeShade="A6" w:val="single"/>
      </w:tblBorders>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rsid w:val="0083089E"/>
    <w:pPr>
      <w:keepNext/>
      <w:keepLines/>
      <w:spacing w:after="0"/>
    </w:pPr>
    <w:rPr>
      <w:b/>
    </w:rPr>
  </w:style>
  <w:style w:customStyle="1" w:styleId="Definition" w:type="paragraph">
    <w:name w:val="Definition"/>
    <w:basedOn w:val="Normal"/>
    <w:rsid w:val="0083089E"/>
  </w:style>
  <w:style w:styleId="Caption" w:type="paragraph">
    <w:name w:val="caption"/>
    <w:basedOn w:val="Normal"/>
    <w:link w:val="CaptionChar"/>
    <w:pPr>
      <w:spacing w:after="120"/>
    </w:pPr>
    <w:rPr>
      <w:i/>
    </w:rPr>
  </w:style>
  <w:style w:customStyle="1" w:styleId="TableCaption" w:type="paragraph">
    <w:name w:val="Table Caption"/>
    <w:basedOn w:val="Caption"/>
    <w:rsid w:val="00B660D1"/>
    <w:pPr>
      <w:keepNext/>
    </w:pPr>
  </w:style>
  <w:style w:customStyle="1" w:styleId="ImageCaption" w:type="paragraph">
    <w:name w:val="Image Caption"/>
    <w:basedOn w:val="Caption"/>
    <w:rsid w:val="0083089E"/>
  </w:style>
  <w:style w:customStyle="1" w:styleId="Figure" w:type="paragraph">
    <w:name w:val="Figure"/>
    <w:basedOn w:val="Normal"/>
    <w:rsid w:val="00B10500"/>
    <w:pPr>
      <w:jc w:val="center"/>
    </w:pPr>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83089E"/>
    <w:rPr>
      <w:rFonts w:ascii="Arial" w:hAnsi="Arial"/>
      <w:color w:val="0070C0"/>
      <w:u w:val="single"/>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styleId="TableofFigures" w:type="paragraph">
    <w:name w:val="table of figures"/>
    <w:basedOn w:val="Normal"/>
    <w:next w:val="Normal"/>
    <w:rsid w:val="00E92509"/>
    <w:pPr>
      <w:spacing w:after="0"/>
    </w:pPr>
  </w:style>
  <w:style w:customStyle="1" w:styleId="PIcture" w:type="paragraph">
    <w:name w:val="PIcture"/>
    <w:basedOn w:val="Definition"/>
    <w:rsid w:val="00717BA3"/>
    <w:pPr>
      <w:jc w:val="center"/>
    </w:pPr>
    <w:rPr>
      <w:rFonts w:cs="Arial"/>
    </w:rPr>
  </w:style>
  <w:style w:styleId="TableofAuthorities" w:type="paragraph">
    <w:name w:val="table of authorities"/>
    <w:basedOn w:val="Normal"/>
    <w:next w:val="Normal"/>
    <w:rsid w:val="00B10500"/>
    <w:pPr>
      <w:spacing w:after="0"/>
      <w:ind w:hanging="240" w:left="240"/>
    </w:pPr>
  </w:style>
  <w:style w:styleId="TableGridLight" w:type="table">
    <w:name w:val="Grid Table Light"/>
    <w:basedOn w:val="TableNormal"/>
    <w:rsid w:val="003E7A1B"/>
    <w:pPr>
      <w:spacing w:after="0"/>
      <w:jc w:val="center"/>
    </w:pPr>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cPr>
      <w:shd w:color="auto" w:fill="auto" w:val="clear"/>
    </w:tcPr>
  </w:style>
  <w:style w:customStyle="1" w:styleId="TableNormal0" w:type="table">
    <w:name w:val="TableNormal"/>
    <w:basedOn w:val="Table"/>
    <w:uiPriority w:val="99"/>
    <w:rsid w:val="00E0381B"/>
    <w:pPr>
      <w:spacing w:after="0" w:line="480" w:lineRule="auto"/>
      <w:jc w:val="center"/>
    </w:pPr>
    <w:rPr>
      <w:rFonts w:ascii="Arial" w:hAnsi="Arial"/>
    </w:rPr>
    <w:tblPr>
      <w:jc w:val="center"/>
      <w:tblBorders>
        <w:bottom w:color="A6A6A6" w:space="0" w:sz="4" w:themeColor="background1" w:themeShade="A6" w:val="single"/>
        <w:insideH w:color="A6A6A6" w:space="0" w:sz="6" w:themeColor="background1" w:themeShade="A6" w:val="single"/>
      </w:tblBorders>
    </w:tblPr>
    <w:trPr>
      <w:jc w:val="center"/>
    </w:trPr>
    <w:tcPr>
      <w:vAlign w:val="center"/>
    </w:tcPr>
    <w:tblStylePr w:type="firstRow">
      <w:tblPr>
        <w:jc w:val="left"/>
      </w:tblPr>
      <w:trPr>
        <w:jc w:val="left"/>
      </w:trPr>
      <w:tcPr>
        <w:tcBorders>
          <w:bottom w:color="auto" w:space="0" w:sz="0" w:val="single"/>
        </w:tcBorders>
        <w:vAlign w:val="bottom"/>
      </w:tcPr>
    </w:tblStylePr>
  </w:style>
  <w:style w:styleId="Header" w:type="paragraph">
    <w:name w:val="header"/>
    <w:basedOn w:val="Normal"/>
    <w:link w:val="HeaderChar"/>
    <w:rsid w:val="00887399"/>
    <w:pPr>
      <w:tabs>
        <w:tab w:pos="4513" w:val="center"/>
        <w:tab w:pos="9026" w:val="right"/>
      </w:tabs>
      <w:spacing w:after="0"/>
    </w:pPr>
  </w:style>
  <w:style w:customStyle="1" w:styleId="HeaderChar" w:type="character">
    <w:name w:val="Header Char"/>
    <w:basedOn w:val="DefaultParagraphFont"/>
    <w:link w:val="Header"/>
    <w:rsid w:val="00887399"/>
    <w:rPr>
      <w:rFonts w:ascii="Arial" w:hAnsi="Arial"/>
    </w:rPr>
  </w:style>
  <w:style w:styleId="Footer" w:type="paragraph">
    <w:name w:val="footer"/>
    <w:basedOn w:val="Normal"/>
    <w:link w:val="FooterChar"/>
    <w:uiPriority w:val="99"/>
    <w:rsid w:val="00887399"/>
    <w:pPr>
      <w:tabs>
        <w:tab w:pos="4513" w:val="center"/>
        <w:tab w:pos="9026" w:val="right"/>
      </w:tabs>
      <w:spacing w:after="0"/>
    </w:pPr>
  </w:style>
  <w:style w:customStyle="1" w:styleId="FooterChar" w:type="character">
    <w:name w:val="Footer Char"/>
    <w:basedOn w:val="DefaultParagraphFont"/>
    <w:link w:val="Footer"/>
    <w:uiPriority w:val="99"/>
    <w:rsid w:val="00887399"/>
    <w:rPr>
      <w:rFonts w:ascii="Arial" w:hAnsi="Arial"/>
    </w:rPr>
  </w:style>
  <w:style w:styleId="TOC1" w:type="paragraph">
    <w:name w:val="toc 1"/>
    <w:basedOn w:val="Normal"/>
    <w:next w:val="Normal"/>
    <w:autoRedefine/>
    <w:uiPriority w:val="39"/>
    <w:rsid w:val="006E7139"/>
    <w:pPr>
      <w:spacing w:after="100"/>
    </w:pPr>
  </w:style>
  <w:style w:styleId="TOC2" w:type="paragraph">
    <w:name w:val="toc 2"/>
    <w:basedOn w:val="Normal"/>
    <w:next w:val="Normal"/>
    <w:autoRedefine/>
    <w:uiPriority w:val="39"/>
    <w:rsid w:val="006E7139"/>
    <w:pPr>
      <w:spacing w:after="100"/>
      <w:ind w:left="240"/>
    </w:pPr>
  </w:style>
  <w:style w:styleId="TOC3" w:type="paragraph">
    <w:name w:val="toc 3"/>
    <w:basedOn w:val="Normal"/>
    <w:next w:val="Normal"/>
    <w:autoRedefine/>
    <w:uiPriority w:val="39"/>
    <w:rsid w:val="006E7139"/>
    <w:pPr>
      <w:spacing w:after="100"/>
      <w:ind w:left="480"/>
    </w:p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b/>
      <w:color w:val="204a87"/>
      <w:shd w:val="clear" w:fill="f8f8f8"/>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b/>
      <w:color w:val="ce5c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i/>
      <w:color w:val="8f5902"/>
      <w:shd w:val="clear" w:fill="f8f8f8"/>
    </w:rPr>
  </w:style>
  <w:style w:type="character" w:customStyle="1" w:styleId="DocumentationTok">
    <w:name w:val="DocumentationTok"/>
    <w:basedOn w:val="VerbatimChar"/>
    <w:rPr>
      <w:b/>
      <w:i/>
      <w:color w:val="8f5902"/>
      <w:shd w:val="clear" w:fill="f8f8f8"/>
    </w:rPr>
  </w:style>
  <w:style w:type="character" w:customStyle="1" w:styleId="AnnotationTok">
    <w:name w:val="AnnotationTok"/>
    <w:basedOn w:val="VerbatimChar"/>
    <w:rPr>
      <w:b/>
      <w:i/>
      <w:color w:val="8f5902"/>
      <w:shd w:val="clear" w:fill="f8f8f8"/>
    </w:rPr>
  </w:style>
  <w:style w:type="character" w:customStyle="1" w:styleId="CommentVarTok">
    <w:name w:val="CommentVarTok"/>
    <w:basedOn w:val="VerbatimChar"/>
    <w:rPr>
      <w:b/>
      <w:i/>
      <w:color w:val="8f5902"/>
      <w:shd w:val="clear" w:fill="f8f8f8"/>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b/>
      <w:color w:val="204a87"/>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b/>
      <w:color w:val="204a87"/>
      <w:shd w:val="clear" w:fill="f8f8f8"/>
    </w:rPr>
  </w:style>
  <w:style w:type="character" w:customStyle="1" w:styleId="OperatorTok">
    <w:name w:val="OperatorTok"/>
    <w:basedOn w:val="VerbatimChar"/>
    <w:rPr>
      <w:b/>
      <w:color w:val="ce5c00"/>
      <w:shd w:val="clear" w:fill="f8f8f8"/>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i/>
      <w:color w:val="8f5902"/>
      <w:shd w:val="clear" w:fill="f8f8f8"/>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b/>
      <w:i/>
      <w:color w:val="8f5902"/>
      <w:shd w:val="clear" w:fill="f8f8f8"/>
    </w:rPr>
  </w:style>
  <w:style w:type="character" w:customStyle="1" w:styleId="WarningTok">
    <w:name w:val="WarningTok"/>
    <w:basedOn w:val="VerbatimChar"/>
    <w:rPr>
      <w:b/>
      <w:i/>
      <w:color w:val="8f5902"/>
      <w:shd w:val="clear" w:fill="f8f8f8"/>
    </w:rPr>
  </w:style>
  <w:style w:type="character" w:customStyle="1" w:styleId="AlertTok">
    <w:name w:val="AlertTok"/>
    <w:basedOn w:val="VerbatimChar"/>
    <w:rPr>
      <w:color w:val="ef2929"/>
      <w:shd w:val="clear" w:fill="f8f8f8"/>
    </w:rPr>
  </w:style>
  <w:style w:type="character" w:customStyle="1" w:styleId="ErrorTok">
    <w:name w:val="ErrorTok"/>
    <w:basedOn w:val="VerbatimChar"/>
    <w:rPr>
      <w:b/>
      <w:color w:val="a40000"/>
      <w:shd w:val="clear" w:fill="f8f8f8"/>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58" Target="media/rId58.png" /><Relationship Type="http://schemas.openxmlformats.org/officeDocument/2006/relationships/image" Id="rId38" Target="media/rId38.png" /><Relationship Type="http://schemas.openxmlformats.org/officeDocument/2006/relationships/image" Id="rId42" Target="media/rId42.png" /><Relationship Type="http://schemas.openxmlformats.org/officeDocument/2006/relationships/image" Id="rId47" Target="media/rId47.png" /><Relationship Type="http://schemas.openxmlformats.org/officeDocument/2006/relationships/image" Id="rId53" Target="media/rId53.png" /><Relationship Type="http://schemas.openxmlformats.org/officeDocument/2006/relationships/image" Id="rId20" Target="media/rId20.png" /><Relationship Type="http://schemas.openxmlformats.org/officeDocument/2006/relationships/hyperlink" Id="rId35" Target="https://assets.publishing.service.gov.uk/media/66d83f677a73423428aa2f14/School_attendance_data_collection_DPIA.pdf" TargetMode="External" /><Relationship Type="http://schemas.openxmlformats.org/officeDocument/2006/relationships/hyperlink" Id="rId50" Target="https://explore-education-statistics.service.gov.uk/find-statistics/pupil-attendance-in-schools" TargetMode="External" /><Relationship Type="http://schemas.openxmlformats.org/officeDocument/2006/relationships/hyperlink" Id="rId28" Target="https://viewyourdata.education.gov.uk/" TargetMode="External" /><Relationship Type="http://schemas.openxmlformats.org/officeDocument/2006/relationships/hyperlink" Id="rId64" Target="https://www.gov.uk/government/publications/monitor-your-school-attendance-user-guide/monitor-your-school-attendance-how-to-use-the-absence-bandings-report" TargetMode="External" /><Relationship Type="http://schemas.openxmlformats.org/officeDocument/2006/relationships/hyperlink" Id="rId32" Target="https://www.gov.uk/government/publications/monitor-your-school-attendance-user-guide/monitor-your-school-attendance-user-guide#data-definitions" TargetMode="External" /><Relationship Type="http://schemas.openxmlformats.org/officeDocument/2006/relationships/hyperlink" Id="rId29" Target="https://www.gov.uk/government/publications/working-together-to-improve-school-attendance" TargetMode="External" /><Relationship Type="http://schemas.openxmlformats.org/officeDocument/2006/relationships/hyperlink" Id="rId27" Target="https://www.gov.uk/guidance/share-your-daily-school-attendance-data" TargetMode="External" /></Relationships>
</file>

<file path=word/_rels/footnotes.xml.rels><?xml version="1.0" encoding="UTF-8"?><Relationships xmlns="http://schemas.openxmlformats.org/package/2006/relationships"><Relationship Type="http://schemas.openxmlformats.org/officeDocument/2006/relationships/hyperlink" Id="rId35" Target="https://assets.publishing.service.gov.uk/media/66d83f677a73423428aa2f14/School_attendance_data_collection_DPIA.pdf" TargetMode="External" /><Relationship Type="http://schemas.openxmlformats.org/officeDocument/2006/relationships/hyperlink" Id="rId50" Target="https://explore-education-statistics.service.gov.uk/find-statistics/pupil-attendance-in-schools" TargetMode="External" /><Relationship Type="http://schemas.openxmlformats.org/officeDocument/2006/relationships/hyperlink" Id="rId28" Target="https://viewyourdata.education.gov.uk/" TargetMode="External" /><Relationship Type="http://schemas.openxmlformats.org/officeDocument/2006/relationships/hyperlink" Id="rId64" Target="https://www.gov.uk/government/publications/monitor-your-school-attendance-user-guide/monitor-your-school-attendance-how-to-use-the-absence-bandings-report" TargetMode="External" /><Relationship Type="http://schemas.openxmlformats.org/officeDocument/2006/relationships/hyperlink" Id="rId32" Target="https://www.gov.uk/government/publications/monitor-your-school-attendance-user-guide/monitor-your-school-attendance-user-guide#data-definitions" TargetMode="External" /><Relationship Type="http://schemas.openxmlformats.org/officeDocument/2006/relationships/hyperlink" Id="rId29" Target="https://www.gov.uk/government/publications/working-together-to-improve-school-attendance" TargetMode="External" /><Relationship Type="http://schemas.openxmlformats.org/officeDocument/2006/relationships/hyperlink" Id="rId27" Target="https://www.gov.uk/guidance/share-your-daily-school-attendance-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2025-02-24T22:41:27Z</dcterms:created>
  <dcterms:modified xsi:type="dcterms:W3CDTF">2025-02-24T22:41:27Z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